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932805" cy="1031240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031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76" w:lineRule="auto"/>
        <w:ind w:firstLine="14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  <w:br w:type="textWrapping"/>
        <w:t xml:space="preserve"> Республиканского конкурса детского технического творчества</w:t>
      </w:r>
    </w:p>
    <w:p w:rsidR="00000000" w:rsidDel="00000000" w:rsidP="00000000" w:rsidRDefault="00000000" w:rsidRPr="00000000" w14:paraId="00000009">
      <w:pPr>
        <w:spacing w:line="276" w:lineRule="auto"/>
        <w:ind w:firstLine="14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«Я - ИНЖЕНЕР»</w:t>
      </w:r>
    </w:p>
    <w:p w:rsidR="00000000" w:rsidDel="00000000" w:rsidP="00000000" w:rsidRDefault="00000000" w:rsidRPr="00000000" w14:paraId="0000000A">
      <w:pPr>
        <w:spacing w:line="276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 конкурса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Республиканский конкурс детского технического творчества «Я - ИНЖЕНЕР» направлен на приобщение детей дошкольного и младшего школьного возраста к инженерно-техническому творчеству, поддержку стремления детей к моделированию окружающего мира.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конкурса</w:t>
      </w:r>
    </w:p>
    <w:p w:rsidR="00000000" w:rsidDel="00000000" w:rsidP="00000000" w:rsidRDefault="00000000" w:rsidRPr="00000000" w14:paraId="0000000E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образования и науки РС (Я) и Ресурсный Центр по развитию детской одаренности «МАДОУ «Детский сад №18 «Прометейчик», совместно с ГАУ ДО РС (Я) «Малая академия наук РС (Я)», Малая компьютерная академия СВФУ. Социальные партнеры: ООО «Прометей»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конкурса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направлен на решение следующих задач: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демонстрация умений конструирования и моделирования;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достижений детей, их оценка специалистами и сверстниками;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привлечение большего количества детей, обучающихся  конструированию.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конкурса</w:t>
      </w:r>
    </w:p>
    <w:p w:rsidR="00000000" w:rsidDel="00000000" w:rsidP="00000000" w:rsidRDefault="00000000" w:rsidRPr="00000000" w14:paraId="00000015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конкурсе приглашаются воспитанники старших и подготовительных групп детских дошкольных образовательных организаций и учащиеся начальных классов общеобразовательных учреждений. Организационным комитетом определены три возрастные группы: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78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5-6 лет;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78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7-8 лет;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78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9-11 лет.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 участию в конкурсе допускаются как индивидуальные участники, так и творческие коллективы. Возрастная группа определяется возрастом самого старшего из участников коллектива.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и сроки проведения конкурса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 принимаются конструкции по теме Конкурса из различных материалов, которые должны быть представлены в форме медиа-презентации или видеоролика (загрузите работу на видеохостинг YouTube).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Работы (медиа-презентация или ссылка на видео), заявки на фирменном бланке (Приложение 1), сканированные квитанции принимаются на электронный адрес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yainzhenerzayavka_20@mail.ru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с пометкой «от Фамилия Имя».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может участвовать в конкурсе только один раз.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Один автор (творческий коллектив) может представлять только одну работу.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тематика, сроки работы жюри, подведение итогов конкурса, размер организационного взноса и определение победителей будут указаны в информационном письме. </w:t>
      </w:r>
    </w:p>
    <w:p w:rsidR="00000000" w:rsidDel="00000000" w:rsidP="00000000" w:rsidRDefault="00000000" w:rsidRPr="00000000" w14:paraId="00000020">
      <w:pPr>
        <w:spacing w:line="276" w:lineRule="auto"/>
        <w:ind w:left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работам</w:t>
      </w:r>
    </w:p>
    <w:p w:rsidR="00000000" w:rsidDel="00000000" w:rsidP="00000000" w:rsidRDefault="00000000" w:rsidRPr="00000000" w14:paraId="00000022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 допускаются работы детей, представленные в видеоролике (ссылку в Ютуб) или медиа-презентации.</w:t>
      </w:r>
    </w:p>
    <w:p w:rsidR="00000000" w:rsidDel="00000000" w:rsidP="00000000" w:rsidRDefault="00000000" w:rsidRPr="00000000" w14:paraId="00000023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Видеоролики: загрузите видеоролик на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http://www.youtube.com/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Внимание, убедитесь, что ваш видеоролик открыт в доступе. </w:t>
      </w:r>
    </w:p>
    <w:p w:rsidR="00000000" w:rsidDel="00000000" w:rsidP="00000000" w:rsidRDefault="00000000" w:rsidRPr="00000000" w14:paraId="00000024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Медиа-презентации: создайте презентацию в программе PowerPoint, позаботьтесь об оптимизации фотографий. Сопроводите презентацию комментариями.</w:t>
      </w:r>
    </w:p>
    <w:p w:rsidR="00000000" w:rsidDel="00000000" w:rsidP="00000000" w:rsidRDefault="00000000" w:rsidRPr="00000000" w14:paraId="00000025">
      <w:pPr>
        <w:spacing w:line="276" w:lineRule="auto"/>
        <w:ind w:firstLine="709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названии видеоролика или медиа-презентации должно быть отражено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Фамилия Имя участника, сколько лет, какую ОО представляет, ФИО руководителя, название работы,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Петров Иван, 11 лет, СОШ №1 ГО «город Якутск», руководитель: М.И. Иванова, тема «_________________».</w:t>
      </w:r>
    </w:p>
    <w:p w:rsidR="00000000" w:rsidDel="00000000" w:rsidP="00000000" w:rsidRDefault="00000000" w:rsidRPr="00000000" w14:paraId="00000026">
      <w:pPr>
        <w:spacing w:line="276" w:lineRule="auto"/>
        <w:ind w:firstLine="709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Организационный комитет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функциям организационного комитета относятся: разработка настоящего Положения; проверка работ зарегистрированных участников; подведение и опубликование итогов Конкурса; информирование участников об итогах Конкурса и награждение победителей.</w:t>
      </w:r>
    </w:p>
    <w:p w:rsidR="00000000" w:rsidDel="00000000" w:rsidP="00000000" w:rsidRDefault="00000000" w:rsidRPr="00000000" w14:paraId="00000029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работы оценивает жюри, состав которого утверждается приказом ГАУ ДО РС (Я) «Малая академия наук РС (Я)».</w:t>
      </w:r>
    </w:p>
    <w:p w:rsidR="00000000" w:rsidDel="00000000" w:rsidP="00000000" w:rsidRDefault="00000000" w:rsidRPr="00000000" w14:paraId="0000002A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97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об итогах Конкурса публикуются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официальных сайтах Министерства образования и науки РС (Я), Ресурсного Центра по развитию детской одаренности «МАДОУ «Детский сад» №18 «Прометейчик» ГО «город Якутск», ГАУ ДО РС (Я) «Малая академия наук РС (Я)»,  Малая компьютерная академия СВФУ.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6119495</wp:posOffset>
            </wp:positionH>
            <wp:positionV relativeFrom="paragraph">
              <wp:posOffset>0</wp:posOffset>
            </wp:positionV>
            <wp:extent cx="3175" cy="152400"/>
            <wp:effectExtent b="0" l="0" r="0" t="0"/>
            <wp:wrapSquare wrapText="bothSides" distB="0" distT="0" distL="114300" distR="11430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5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6109970</wp:posOffset>
            </wp:positionH>
            <wp:positionV relativeFrom="paragraph">
              <wp:posOffset>299085</wp:posOffset>
            </wp:positionV>
            <wp:extent cx="8890" cy="704215"/>
            <wp:effectExtent b="0" l="0" r="0" t="0"/>
            <wp:wrapSquare wrapText="bothSides" distB="0" distT="0" distL="114300" distR="114300"/>
            <wp:docPr id="2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704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spacing w:line="297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Жюри и награждение</w:t>
      </w:r>
    </w:p>
    <w:p w:rsidR="00000000" w:rsidDel="00000000" w:rsidP="00000000" w:rsidRDefault="00000000" w:rsidRPr="00000000" w14:paraId="0000002E">
      <w:pPr>
        <w:ind w:firstLine="65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подведения итогов в каждой возрастной категории участников определяются победители, обладатели номинаций, которые составляют 15% от числа участников.</w:t>
      </w:r>
    </w:p>
    <w:p w:rsidR="00000000" w:rsidDel="00000000" w:rsidP="00000000" w:rsidRDefault="00000000" w:rsidRPr="00000000" w14:paraId="0000002F">
      <w:pPr>
        <w:ind w:firstLine="65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подводятся по сумме баллов за каждый критерий. Победители определяются на основании результатов всех участников по трем возрастным категориям.</w:t>
      </w:r>
    </w:p>
    <w:p w:rsidR="00000000" w:rsidDel="00000000" w:rsidP="00000000" w:rsidRDefault="00000000" w:rsidRPr="00000000" w14:paraId="00000030">
      <w:pPr>
        <w:ind w:firstLine="63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Жюри: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оценивает конкурсные работы с учетом критериев по десятибалльной шкале. Итоговая оценка каждого участника формируется путем суммирования оценок всех членов жюри по всем критериям;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может награждать специальными дипломами лучшие работы.</w:t>
      </w:r>
    </w:p>
    <w:p w:rsidR="00000000" w:rsidDel="00000000" w:rsidP="00000000" w:rsidRDefault="00000000" w:rsidRPr="00000000" w14:paraId="00000033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конкурсант получает свидетельство об участии на Конкурсе в электронном виде (по электронной почте, указанной в заявке).</w:t>
      </w:r>
    </w:p>
    <w:p w:rsidR="00000000" w:rsidDel="00000000" w:rsidP="00000000" w:rsidRDefault="00000000" w:rsidRPr="00000000" w14:paraId="00000034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подводятся по сумме баллов за каждый критерий. Все решения жюри Конкурса являются окончательными, обсуждению и пересмотру не подлежат.</w:t>
      </w:r>
    </w:p>
    <w:p w:rsidR="00000000" w:rsidDel="00000000" w:rsidP="00000000" w:rsidRDefault="00000000" w:rsidRPr="00000000" w14:paraId="00000035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Лучшие работы Конкурса будут награждены дипломами победителей I, II или III степени во всех возрастных группах (5-6, 7-8, 9-11 лет).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37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оценивании работ учитываются: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целостность, завершенность;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разнообразие примененных материалов конструкций;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качество сборки;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Условия участия</w:t>
      </w:r>
    </w:p>
    <w:p w:rsidR="00000000" w:rsidDel="00000000" w:rsidP="00000000" w:rsidRDefault="00000000" w:rsidRPr="00000000" w14:paraId="0000003D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конкурсе необходимо оплатить организационный взнос с конкурсной работы. </w:t>
      </w:r>
    </w:p>
    <w:p w:rsidR="00000000" w:rsidDel="00000000" w:rsidP="00000000" w:rsidRDefault="00000000" w:rsidRPr="00000000" w14:paraId="0000003E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квитанции об оплате следует указать «орг. взнос», образовательную организацию и фамилию участника. Оплата организационного сбора не предусматривает расходы на банковские услуги.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  Авторские права</w:t>
      </w:r>
    </w:p>
    <w:p w:rsidR="00000000" w:rsidDel="00000000" w:rsidP="00000000" w:rsidRDefault="00000000" w:rsidRPr="00000000" w14:paraId="00000041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Совершеннолетние представители участников Конкурса гарантируют, что представленные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000000" w:rsidDel="00000000" w:rsidP="00000000" w:rsidRDefault="00000000" w:rsidRPr="00000000" w14:paraId="00000042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Представляя работу на Конкурс, совершеннолетние представители участников автоматически дают согласие на использование присланного материала в некоммерческих целях (размещение в печатных изданиях, в том числе в сети Интернет, на выставочных стендах с указанием фамилии).</w:t>
      </w:r>
    </w:p>
    <w:p w:rsidR="00000000" w:rsidDel="00000000" w:rsidP="00000000" w:rsidRDefault="00000000" w:rsidRPr="00000000" w14:paraId="00000043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 и обработка присланных работ участников Конкурса – граждан РФ, участвующих в Конкурсе, производятся в соответствии с законодательством РФ, регламентирующим сбор и обработку персональных данных. Сбору и обработке подлежат фамилии, имена, возраст участников, их образовательные организации и их выполненные конкурсные работ. Факт отправки образовательной организацией заявки на участие в Конкурсе означает, что ОО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несёт всю вытекающую из этого ответственность.</w:t>
      </w:r>
    </w:p>
    <w:p w:rsidR="00000000" w:rsidDel="00000000" w:rsidP="00000000" w:rsidRDefault="00000000" w:rsidRPr="00000000" w14:paraId="00000044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840" w:hanging="48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decimal"/>
      <w:lvlText w:val="%1.%2"/>
      <w:lvlJc w:val="left"/>
      <w:pPr>
        <w:ind w:left="840" w:hanging="48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cs="Times New Roman" w:eastAsia="Times New Roman" w:hAnsi="Times New Roman"/>
        <w:sz w:val="27"/>
        <w:szCs w:val="27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cs="Times New Roman" w:eastAsia="Times New Roman" w:hAnsi="Times New Roman"/>
        <w:sz w:val="27"/>
        <w:szCs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cs="Times New Roman" w:eastAsia="Times New Roman" w:hAnsi="Times New Roman"/>
        <w:sz w:val="27"/>
        <w:szCs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A0A9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1"/>
    <w:qFormat w:val="1"/>
    <w:rsid w:val="00EB4191"/>
    <w:pPr>
      <w:spacing w:after="160" w:line="259" w:lineRule="auto"/>
      <w:ind w:left="720"/>
      <w:contextualSpacing w:val="1"/>
      <w:jc w:val="left"/>
    </w:pPr>
  </w:style>
  <w:style w:type="character" w:styleId="a4">
    <w:name w:val="Hyperlink"/>
    <w:basedOn w:val="a0"/>
    <w:uiPriority w:val="99"/>
    <w:unhideWhenUsed w:val="1"/>
    <w:rsid w:val="00EB4191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004235"/>
    <w:pPr>
      <w:jc w:val="left"/>
    </w:pPr>
    <w:rPr>
      <w:rFonts w:ascii="Calibri" w:cs="Calibri" w:eastAsia="Times New Roman" w:hAnsi="Calibri"/>
      <w:sz w:val="20"/>
      <w:szCs w:val="20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004235"/>
    <w:pPr>
      <w:autoSpaceDE w:val="0"/>
      <w:autoSpaceDN w:val="0"/>
      <w:adjustRightInd w:val="0"/>
      <w:jc w:val="left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 w:val="1"/>
    <w:unhideWhenUsed w:val="1"/>
    <w:rsid w:val="00004235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00423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left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yainzhenerzayavka_20@mail.ru" TargetMode="External"/><Relationship Id="rId8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2018-10-05T00:19:00Z</dcterms:created>
  <dc:creator>User</dc:creator>
</cp:coreProperties>
</file>